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9BA723" w14:textId="77777777" w:rsidR="004C4082" w:rsidRDefault="004C4082" w:rsidP="004C4082">
      <w:pPr>
        <w:jc w:val="center"/>
      </w:pPr>
      <w:bookmarkStart w:id="0" w:name="_GoBack"/>
      <w:bookmarkEnd w:id="0"/>
    </w:p>
    <w:p w14:paraId="3DEE8578" w14:textId="77777777" w:rsidR="004C4082" w:rsidRDefault="004C4082" w:rsidP="004C4082">
      <w:pPr>
        <w:jc w:val="center"/>
      </w:pPr>
    </w:p>
    <w:p w14:paraId="7A275BDC" w14:textId="77777777" w:rsidR="004C4082" w:rsidRDefault="004C4082" w:rsidP="004C4082">
      <w:pPr>
        <w:jc w:val="center"/>
      </w:pPr>
    </w:p>
    <w:p w14:paraId="26A22238" w14:textId="77777777" w:rsidR="004C4082" w:rsidRDefault="004C4082" w:rsidP="004C4082">
      <w:pPr>
        <w:jc w:val="center"/>
      </w:pPr>
    </w:p>
    <w:p w14:paraId="7DFEC4E9" w14:textId="77777777" w:rsidR="004C4082" w:rsidRDefault="004C4082" w:rsidP="004C4082">
      <w:pPr>
        <w:jc w:val="center"/>
      </w:pPr>
    </w:p>
    <w:p w14:paraId="54B1C32C" w14:textId="77777777" w:rsidR="004C4082" w:rsidRDefault="004C4082" w:rsidP="004C4082">
      <w:pPr>
        <w:jc w:val="center"/>
      </w:pPr>
    </w:p>
    <w:p w14:paraId="0E29B137" w14:textId="77777777" w:rsidR="004C4082" w:rsidRDefault="004C4082" w:rsidP="004C4082">
      <w:pPr>
        <w:jc w:val="center"/>
      </w:pPr>
    </w:p>
    <w:p w14:paraId="035EBAE1" w14:textId="77777777" w:rsidR="004C4082" w:rsidRDefault="004C4082" w:rsidP="004C4082">
      <w:pPr>
        <w:jc w:val="center"/>
      </w:pPr>
    </w:p>
    <w:p w14:paraId="37249412" w14:textId="77777777" w:rsidR="004C4082" w:rsidRDefault="004C4082" w:rsidP="004C4082">
      <w:pPr>
        <w:jc w:val="center"/>
      </w:pPr>
    </w:p>
    <w:p w14:paraId="7626BAAF" w14:textId="77777777" w:rsidR="004C4082" w:rsidRDefault="004C4082" w:rsidP="004C4082">
      <w:pPr>
        <w:jc w:val="center"/>
      </w:pPr>
    </w:p>
    <w:p w14:paraId="6D245CD4" w14:textId="77777777" w:rsidR="004C4082" w:rsidRDefault="004C4082" w:rsidP="004C4082">
      <w:pPr>
        <w:jc w:val="center"/>
      </w:pPr>
    </w:p>
    <w:p w14:paraId="4D232242" w14:textId="77777777" w:rsidR="004C4082" w:rsidRDefault="004C4082" w:rsidP="004C4082">
      <w:pPr>
        <w:jc w:val="center"/>
      </w:pPr>
    </w:p>
    <w:p w14:paraId="349EF6E5" w14:textId="77777777" w:rsidR="004C4082" w:rsidRDefault="004C4082" w:rsidP="004C4082">
      <w:pPr>
        <w:jc w:val="center"/>
      </w:pPr>
    </w:p>
    <w:p w14:paraId="320E28EF" w14:textId="77777777" w:rsidR="004C4082" w:rsidRDefault="004C4082" w:rsidP="004C4082">
      <w:pPr>
        <w:jc w:val="center"/>
      </w:pPr>
    </w:p>
    <w:p w14:paraId="4A8DB9C5" w14:textId="77777777" w:rsidR="004C4082" w:rsidRDefault="004C4082" w:rsidP="004C4082">
      <w:pPr>
        <w:jc w:val="center"/>
      </w:pPr>
    </w:p>
    <w:p w14:paraId="5487D13D" w14:textId="64451D9B" w:rsidR="00AB68A4" w:rsidRDefault="00F33597" w:rsidP="004C4082">
      <w:pPr>
        <w:jc w:val="center"/>
      </w:pPr>
      <w:r w:rsidRPr="00DC581B">
        <w:t xml:space="preserve">Sexual </w:t>
      </w:r>
      <w:r w:rsidR="004C4082" w:rsidRPr="00DC581B">
        <w:t>Transmitted Disease</w:t>
      </w:r>
    </w:p>
    <w:p w14:paraId="3D4A957E" w14:textId="2AAD50D2" w:rsidR="004C4082" w:rsidRDefault="00F33597" w:rsidP="004C4082">
      <w:pPr>
        <w:jc w:val="center"/>
        <w:rPr>
          <w:lang w:val="en-US"/>
        </w:rPr>
      </w:pPr>
      <w:r>
        <w:rPr>
          <w:lang w:val="en-US"/>
        </w:rPr>
        <w:t>Name</w:t>
      </w:r>
    </w:p>
    <w:p w14:paraId="5F0AE0A2" w14:textId="56025F0E" w:rsidR="004C4082" w:rsidRDefault="00F33597" w:rsidP="004C4082">
      <w:pPr>
        <w:jc w:val="center"/>
        <w:rPr>
          <w:lang w:val="en-US"/>
        </w:rPr>
      </w:pPr>
      <w:r>
        <w:rPr>
          <w:lang w:val="en-US"/>
        </w:rPr>
        <w:t>Institution</w:t>
      </w:r>
    </w:p>
    <w:p w14:paraId="46078CB2" w14:textId="3A1C9B13" w:rsidR="004C4082" w:rsidRDefault="004C4082">
      <w:pPr>
        <w:rPr>
          <w:lang w:val="en-US"/>
        </w:rPr>
      </w:pPr>
    </w:p>
    <w:p w14:paraId="7675FFF1" w14:textId="27E8AACD" w:rsidR="004C4082" w:rsidRDefault="004C4082">
      <w:pPr>
        <w:rPr>
          <w:lang w:val="en-US"/>
        </w:rPr>
      </w:pPr>
    </w:p>
    <w:p w14:paraId="23ED43D4" w14:textId="604FEF2F" w:rsidR="004C4082" w:rsidRDefault="004C4082">
      <w:pPr>
        <w:rPr>
          <w:lang w:val="en-US"/>
        </w:rPr>
      </w:pPr>
    </w:p>
    <w:p w14:paraId="7597CFBD" w14:textId="5C09748D" w:rsidR="004C4082" w:rsidRDefault="004C4082">
      <w:pPr>
        <w:rPr>
          <w:lang w:val="en-US"/>
        </w:rPr>
      </w:pPr>
    </w:p>
    <w:p w14:paraId="71C93ED4" w14:textId="507C43A6" w:rsidR="004C4082" w:rsidRDefault="004C4082">
      <w:pPr>
        <w:rPr>
          <w:lang w:val="en-US"/>
        </w:rPr>
      </w:pPr>
    </w:p>
    <w:p w14:paraId="4A3C223A" w14:textId="7FF9ECA0" w:rsidR="004C4082" w:rsidRDefault="004C4082">
      <w:pPr>
        <w:rPr>
          <w:lang w:val="en-US"/>
        </w:rPr>
      </w:pPr>
    </w:p>
    <w:p w14:paraId="31F7A2FF" w14:textId="0434E7A2" w:rsidR="004C4082" w:rsidRDefault="004C4082">
      <w:pPr>
        <w:rPr>
          <w:lang w:val="en-US"/>
        </w:rPr>
      </w:pPr>
    </w:p>
    <w:p w14:paraId="7CA6E0E7" w14:textId="290F00D2" w:rsidR="004C4082" w:rsidRDefault="004C4082">
      <w:pPr>
        <w:rPr>
          <w:lang w:val="en-US"/>
        </w:rPr>
      </w:pPr>
    </w:p>
    <w:p w14:paraId="3F9F385A" w14:textId="5A41BA26" w:rsidR="004C4082" w:rsidRDefault="004C4082">
      <w:pPr>
        <w:rPr>
          <w:lang w:val="en-US"/>
        </w:rPr>
      </w:pPr>
    </w:p>
    <w:p w14:paraId="268F1B66" w14:textId="5B1AD87E" w:rsidR="004C4082" w:rsidRDefault="004C4082">
      <w:pPr>
        <w:rPr>
          <w:lang w:val="en-US"/>
        </w:rPr>
      </w:pPr>
    </w:p>
    <w:p w14:paraId="2FF03BB5" w14:textId="2E2F51BE" w:rsidR="004C4082" w:rsidRDefault="004C4082">
      <w:pPr>
        <w:rPr>
          <w:lang w:val="en-US"/>
        </w:rPr>
      </w:pPr>
    </w:p>
    <w:p w14:paraId="685FA855" w14:textId="77777777" w:rsidR="004C4082" w:rsidRPr="004C4082" w:rsidRDefault="004C4082">
      <w:pPr>
        <w:rPr>
          <w:lang w:val="en-US"/>
        </w:rPr>
      </w:pPr>
    </w:p>
    <w:p w14:paraId="52195E3C" w14:textId="23FA82BD" w:rsidR="004C4082" w:rsidRDefault="00F33597" w:rsidP="00CB10B4">
      <w:pPr>
        <w:spacing w:line="480" w:lineRule="auto"/>
        <w:ind w:firstLine="720"/>
        <w:jc w:val="both"/>
        <w:rPr>
          <w:lang w:val="en-US"/>
        </w:rPr>
      </w:pPr>
      <w:r>
        <w:rPr>
          <w:lang w:val="en-US"/>
        </w:rPr>
        <w:lastRenderedPageBreak/>
        <w:t xml:space="preserve">Background </w:t>
      </w:r>
    </w:p>
    <w:p w14:paraId="4BFAEE17" w14:textId="0EBE1FE9" w:rsidR="00DC581B" w:rsidRDefault="00F33597" w:rsidP="00CB10B4">
      <w:pPr>
        <w:spacing w:line="480" w:lineRule="auto"/>
        <w:ind w:firstLine="720"/>
        <w:jc w:val="both"/>
        <w:rPr>
          <w:lang w:val="en-US"/>
        </w:rPr>
      </w:pPr>
      <w:r>
        <w:rPr>
          <w:lang w:val="en-US"/>
        </w:rPr>
        <w:t xml:space="preserve">Sexually transmitted diseases are health conditions that are passed from one individual to another through </w:t>
      </w:r>
      <w:r w:rsidR="00FA7D53">
        <w:rPr>
          <w:lang w:val="en-US"/>
        </w:rPr>
        <w:t>sexual</w:t>
      </w:r>
      <w:r>
        <w:rPr>
          <w:lang w:val="en-US"/>
        </w:rPr>
        <w:t xml:space="preserve"> intercourse. There are different types of sexually </w:t>
      </w:r>
      <w:r w:rsidR="00FA7D53">
        <w:rPr>
          <w:lang w:val="en-US"/>
        </w:rPr>
        <w:t>transmitted</w:t>
      </w:r>
      <w:r>
        <w:rPr>
          <w:lang w:val="en-US"/>
        </w:rPr>
        <w:t xml:space="preserve"> diseases which have varying level of influence on individual wellbeing. However, it is essential to understand that sexual intercourse is not the only way an individual can be infected with a sexually transmitted disease</w:t>
      </w:r>
      <w:r w:rsidR="00CB10B4">
        <w:rPr>
          <w:lang w:val="en-US"/>
        </w:rPr>
        <w:t xml:space="preserve"> </w:t>
      </w:r>
      <w:r w:rsidR="00CB10B4">
        <w:rPr>
          <w:lang w:val="en-US"/>
        </w:rPr>
        <w:fldChar w:fldCharType="begin" w:fldLock="1"/>
      </w:r>
      <w:r w:rsidR="003E275E">
        <w:rPr>
          <w:lang w:val="en-US"/>
        </w:rPr>
        <w:instrText>ADDIN CSL_CITATION {"citationItems":[{"id":"ITEM-1","itemData":{"DOI":"10.1016/S1473-3099(13)70693-5","ISBN":"1473-3099","ISSN":"14733099","PMID":"24462211","abstract":"Background: The emergence of Neisseria gonorrhoeae with decreased susceptibility to extended spectrum cephalosporins raises the prospect of untreatable gonorrhoea. In the absence of new treatments, efforts to slow the increasing incidence of resistant gonococcus require insight into the factors that contribute to its emergence and spread. We assessed the relatedness between isolates in the USA and reconstructed likely spread of lineages through different sexual networks. Methods: We sequenced the genomes of 236 isolates of N gonorrhoeae collected by the Centers for Disease Control and Prevention's Gonococcal Isolate Surveillance Project (GISP) from sentinel public sexually transmitted disease clinics in the USA, including 118 (97%) of the isolates from 2009-10 in GISP with reduced susceptibility to cefixime (cefRS) and 118 cefixime-susceptible isolates from GISP matched as closely as possible by location, collection date, and sexual orientation. We assessed the association between antimicrobial resistance genotype and phenotype and correlated phylogenetic clustering with location and sexual orientation. Findings: Mosaic penA XXXIV had a high positive predictive value for cefRS. We found that two of the 118 cefRS isolates lacked a mosaic penA allele, and rechecking showed that these two were susceptible to cefixime. Of the 116 remaining cefRS isolates, 114 (98%) fell into two distinct lineages that have independently acquired mosaic penA allele XXXIV. A major lineage of cefRS strains spread eastward, predominantly through a sexual network of men who have sex with men. Eight of nine inferred transitions between sexual networks were introductions from men who have sex with men into the heterosexual population. Interpretation: Genomic methods might aid efforts to slow the spread of antibiotic-resistant N gonorrhoeae through augmentation of gonococcal outbreak surveillance and identification of populations that could benefit from increased screening for aymptomatic infections. Funding: American Sexually Transmitted Disease Association, Wellcome Trust, National Institute of General Medical Sciences, and National Institute of Allergy and Infectious Diseases, National Institutes of Health. © 2014 Elsevier Ltd.","author":[{"dropping-particle":"","family":"Grad","given":"Yonatan H.","non-dropping-particle":"","parse-names":false,"suffix":""},{"dropping-particle":"","family":"Kirkcaldy","given":"Robert D.","non-dropping-particle":"","parse-names":false,"suffix":""},{"dropping-particle":"","family":"Trees","given":"David","non-dropping-particle":"","parse-names":false,"suffix":""},{"dropping-particle":"","family":"Dordel","given":"Janina","non-dropping-particle":"","parse-names":false,"suffix":""},{"dropping-particle":"","family":"Harris","given":"Simon R.","non-dropping-particle":"","parse-names":false,"suffix":""},{"dropping-particle":"","family":"Goldstein","given":"Edward","non-dropping-particle":"","parse-names":false,"suffix":""},{"dropping-particle":"","family":"Weinstock","given":"Hillard","non-dropping-particle":"","parse-names":false,"suffix":""},{"dropping-particle":"","family":"Parkhill","given":"Julian","non-dropping-particle":"","parse-names":false,"suffix":""},{"dropping-particle":"","family":"Hanage","given":"William P.","non-dropping-particle":"","parse-names":false,"suffix":""},{"dropping-particle":"","family":"Bentley","given":"Stephen","non-dropping-particle":"","parse-names":false,"suffix":""},{"dropping-particle":"","family":"Lipsitch","given":"Marc","non-dropping-particle":"","parse-names":false,"suffix":""}],"container-title":"The Lancet Infectious Diseases","id":"ITEM-1","issued":{"date-parts":[["2014"]]},"title":"Genomic epidemiology of Neisseria gonorrhoeae with reduced susceptibility to cefixime in the USA: A retrospective observational study","type":"article-journal"},"uris":["http://www.mendeley.com/documents/?uuid=cb837e1e-49d5-4b2a-80ee-63314eb73169"]}],"mendeley":{"formattedCitation":"(Grad et al., 2014)","plainTextFormattedCitation":"(Grad et al., 2014)","previouslyFormattedCitation":"(Grad et al., 2014)"},"properties":{"noteIndex":0},"schema":"https://github.com/citation-style-language/schema/raw/master/csl-citation.json"}</w:instrText>
      </w:r>
      <w:r w:rsidR="00CB10B4">
        <w:rPr>
          <w:lang w:val="en-US"/>
        </w:rPr>
        <w:fldChar w:fldCharType="separate"/>
      </w:r>
      <w:r w:rsidR="00CB10B4" w:rsidRPr="00CB10B4">
        <w:rPr>
          <w:noProof/>
          <w:lang w:val="en-US"/>
        </w:rPr>
        <w:t>(Grad et al., 2014)</w:t>
      </w:r>
      <w:r w:rsidR="00CB10B4">
        <w:rPr>
          <w:lang w:val="en-US"/>
        </w:rPr>
        <w:fldChar w:fldCharType="end"/>
      </w:r>
      <w:r>
        <w:rPr>
          <w:lang w:val="en-US"/>
        </w:rPr>
        <w:t>. An individual can be affected by sharing needles and breastfeeding. The causes of sexually transmitted infections include yeast, virus, bacteria, and parasites. Different conditions are caused by various agents which must be effectively managed to ensure that an individual maintains a positive lifestyl</w:t>
      </w:r>
      <w:r w:rsidR="00467E2E">
        <w:rPr>
          <w:lang w:val="en-US"/>
        </w:rPr>
        <w:t>e.</w:t>
      </w:r>
    </w:p>
    <w:p w14:paraId="3F76112A" w14:textId="0170D3C5" w:rsidR="004C4082" w:rsidRDefault="00F33597" w:rsidP="00CB10B4">
      <w:pPr>
        <w:spacing w:line="480" w:lineRule="auto"/>
        <w:ind w:firstLine="720"/>
        <w:jc w:val="both"/>
        <w:rPr>
          <w:lang w:val="en-US"/>
        </w:rPr>
      </w:pPr>
      <w:r>
        <w:rPr>
          <w:lang w:val="en-US"/>
        </w:rPr>
        <w:t>Types of sexually transmitted diseases</w:t>
      </w:r>
    </w:p>
    <w:p w14:paraId="321CFA96" w14:textId="2AC2931E" w:rsidR="00467E2E" w:rsidRDefault="00F33597" w:rsidP="00CB10B4">
      <w:pPr>
        <w:spacing w:line="480" w:lineRule="auto"/>
        <w:ind w:firstLine="720"/>
        <w:jc w:val="both"/>
        <w:rPr>
          <w:lang w:val="en-US"/>
        </w:rPr>
      </w:pPr>
      <w:r>
        <w:rPr>
          <w:lang w:val="en-US"/>
        </w:rPr>
        <w:t xml:space="preserve">There are many types of sexually transmitted infections although the most commonly occurring types include chlamydia, HIV/AIDs, HPV, Syphilis, </w:t>
      </w:r>
      <w:r w:rsidR="004C4082">
        <w:rPr>
          <w:lang w:val="en-US"/>
        </w:rPr>
        <w:t>Gonorrhea</w:t>
      </w:r>
      <w:r>
        <w:rPr>
          <w:lang w:val="en-US"/>
        </w:rPr>
        <w:t xml:space="preserve">, Trichomoniasis, and Genital Herpes. Each of these </w:t>
      </w:r>
      <w:r w:rsidR="00FA7D53">
        <w:rPr>
          <w:lang w:val="en-US"/>
        </w:rPr>
        <w:t>types</w:t>
      </w:r>
      <w:r>
        <w:rPr>
          <w:lang w:val="en-US"/>
        </w:rPr>
        <w:t xml:space="preserve"> has different symptoms which are evaluated and provide a strong understanding of underlying concepts which help in maintaining a strong evaluation on underlying healthcare outcomes. The signs also are different in male and female, and they take different period to show based on gender and other factors such as an individual immune system. Despite most of these types occurring in both male and female patients, the effects vary and might be more severe in either men or women depending on the condition. Women are highly </w:t>
      </w:r>
      <w:r w:rsidR="004C4082">
        <w:rPr>
          <w:lang w:val="en-US"/>
        </w:rPr>
        <w:t>susceptible</w:t>
      </w:r>
      <w:r>
        <w:rPr>
          <w:lang w:val="en-US"/>
        </w:rPr>
        <w:t xml:space="preserve"> to sexually transmitted diseases due to a high level of hygiene needed in maintaining better health</w:t>
      </w:r>
      <w:r w:rsidR="00CB10B4">
        <w:rPr>
          <w:lang w:val="en-US"/>
        </w:rPr>
        <w:t xml:space="preserve"> </w:t>
      </w:r>
      <w:r w:rsidR="00CB10B4">
        <w:rPr>
          <w:lang w:val="en-US"/>
        </w:rPr>
        <w:fldChar w:fldCharType="begin" w:fldLock="1"/>
      </w:r>
      <w:r w:rsidR="00CB10B4">
        <w:rPr>
          <w:lang w:val="en-US"/>
        </w:rPr>
        <w:instrText>ADDIN CSL_CITATION {"citationItems":[{"id":"ITEM-1","itemData":{"DOI":"10.1007/s10508-014-0413-0","ISSN":"00040002","abstract":"Nearly 20 million new sexually transmitted infections occur every year in the United States. Traditionally, men have demonstrated much greater risk for contraction of and mortality from STDs perhaps because they tend to engage in a number of risky sexual activities. Research on masculinity suggests that gender roles influence males' sexual health by encouraging risk-taking behavior, discouraging access to health services, and narrowly defining their roles as partners. However, despite the propensity of highly masculine men to engage in high-risk sexual behavior, there is reason to suspect that men at the other end of the continuum may still be driven to engage in similar high-risk behaviors as a consequence of gender socialization. Discrepancy stress is a form of gender role stress that occurs when men fail to live up to the ideal manhood derived from societal prescriptions (i.e., Gender Role Discrepancy). In the present study, we surveyed a national sample of 600 men via Amazon Mechanical Turk to assess perceived gender role discrepancy, experience of discrepancy stress, and the associations with risky sexual behavior and potential contraction of STDs. Results indicated that men who believe they are less masculine than the typical man (i.e., gender role discrepancy) and experience distress stemming from this discrepancy (i.e., discrepancy stress) engage in high-risk sexual behavior and are subsequently diagnosed with more STDs. Findings are discussed in relation to implications for primary prevention strategies.","author":[{"dropping-particle":"","family":"Reidy","given":"Dennis E.","non-dropping-particle":"","parse-names":false,"suffix":""},{"dropping-particle":"","family":"Brookmeyer","given":"Kathryn A.","non-dropping-particle":"","parse-names":false,"suffix":""},{"dropping-particle":"","family":"Gentile","given":"Brittany","non-dropping-particle":"","parse-names":false,"suffix":""},{"dropping-particle":"","family":"Berke","given":"Danielle S.","non-dropping-particle":"","parse-names":false,"suffix":""},{"dropping-particle":"","family":"Zeichner","given":"Amos","non-dropping-particle":"","parse-names":false,"suffix":""}],"container-title":"Archives of Sexual Behavior","id":"ITEM-1","issued":{"date-parts":[["2016"]]},"title":"Gender Role Discrepancy Stress, High-Risk Sexual Behavior, and Sexually Transmitted Disease","type":"article-journal"},"uris":["http://www.mendeley.com/documents/?uuid=6aae094a-ccab-4a87-a954-fce6450ed984","http://www.mendeley.com/documents/?uuid=c344cbf9-9a4c-43c2-8085-6957c8b6b47b"]}],"mendeley":{"formattedCitation":"(Reidy, Brookmeyer, Gentile, Berke, &amp; Zeichner, 2016)","manualFormatting":"(Reidy et al., 2016)","plainTextFormattedCitation":"(Reidy, Brookmeyer, Gentile, Berke, &amp; Zeichner, 2016)","previouslyFormattedCitation":"(Reidy, Brookmeyer, Gentile, Berke, &amp; Zeichner, 2016)"},"properties":{"noteIndex":0},"schema":"https://github.com/citation-style-language/schema/raw/master/csl-citation.json"}</w:instrText>
      </w:r>
      <w:r w:rsidR="00CB10B4">
        <w:rPr>
          <w:lang w:val="en-US"/>
        </w:rPr>
        <w:fldChar w:fldCharType="separate"/>
      </w:r>
      <w:r w:rsidR="00CB10B4" w:rsidRPr="00CB10B4">
        <w:rPr>
          <w:noProof/>
          <w:lang w:val="en-US"/>
        </w:rPr>
        <w:t>(Reidy</w:t>
      </w:r>
      <w:r w:rsidR="00CB10B4">
        <w:rPr>
          <w:noProof/>
          <w:lang w:val="en-US"/>
        </w:rPr>
        <w:t xml:space="preserve"> et al.</w:t>
      </w:r>
      <w:r w:rsidR="00CB10B4" w:rsidRPr="00CB10B4">
        <w:rPr>
          <w:noProof/>
          <w:lang w:val="en-US"/>
        </w:rPr>
        <w:t>, 2016)</w:t>
      </w:r>
      <w:r w:rsidR="00CB10B4">
        <w:rPr>
          <w:lang w:val="en-US"/>
        </w:rPr>
        <w:fldChar w:fldCharType="end"/>
      </w:r>
      <w:r>
        <w:rPr>
          <w:lang w:val="en-US"/>
        </w:rPr>
        <w:t>.</w:t>
      </w:r>
    </w:p>
    <w:p w14:paraId="17324371" w14:textId="2775479A" w:rsidR="004C4082" w:rsidRDefault="00F33597" w:rsidP="00CB10B4">
      <w:pPr>
        <w:spacing w:line="480" w:lineRule="auto"/>
        <w:ind w:firstLine="720"/>
        <w:jc w:val="both"/>
        <w:rPr>
          <w:lang w:val="en-US"/>
        </w:rPr>
      </w:pPr>
      <w:r>
        <w:rPr>
          <w:lang w:val="en-US"/>
        </w:rPr>
        <w:t xml:space="preserve">Signs and symptoms </w:t>
      </w:r>
    </w:p>
    <w:p w14:paraId="58AD3B65" w14:textId="1A15EEDE" w:rsidR="00DC581B" w:rsidRDefault="00F33597" w:rsidP="00CB10B4">
      <w:pPr>
        <w:spacing w:line="480" w:lineRule="auto"/>
        <w:ind w:firstLine="720"/>
        <w:jc w:val="both"/>
        <w:rPr>
          <w:lang w:val="en-US"/>
        </w:rPr>
      </w:pPr>
      <w:r>
        <w:rPr>
          <w:lang w:val="en-US"/>
        </w:rPr>
        <w:t>There are different signs and symptoms which need to be evaluated and provide a unique understanding of the best test to consider in making a better diagnosis. Some of the conditions</w:t>
      </w:r>
      <w:r w:rsidR="00FA6513">
        <w:rPr>
          <w:lang w:val="en-US"/>
        </w:rPr>
        <w:t xml:space="preserve"> have unique symptoms which might be challenging to detect earlier creating a heavy </w:t>
      </w:r>
      <w:r w:rsidR="00FA6513">
        <w:rPr>
          <w:lang w:val="en-US"/>
        </w:rPr>
        <w:lastRenderedPageBreak/>
        <w:t xml:space="preserve">emphasis on fundamental changes based on the best intervention to consider. Some of the requirements include sore or bumps on the genital, oral or rectal area, painful urination, pain during intercourse, vaginal bleeding,  lower abdominal pain, odd smelling vaginal discharge and fever among other specific conditions. The detection period of each type of sexually transmitted disease is different which </w:t>
      </w:r>
      <w:r w:rsidR="004C4082">
        <w:rPr>
          <w:lang w:val="en-US"/>
        </w:rPr>
        <w:t>provide</w:t>
      </w:r>
      <w:r w:rsidR="00FA6513">
        <w:rPr>
          <w:lang w:val="en-US"/>
        </w:rPr>
        <w:t xml:space="preserve"> a strong emphasis on essential concepts which provide a more significant commitment on various measures that are put in place</w:t>
      </w:r>
      <w:r w:rsidR="00CB10B4">
        <w:rPr>
          <w:lang w:val="en-US"/>
        </w:rPr>
        <w:t xml:space="preserve"> </w:t>
      </w:r>
      <w:r w:rsidR="00CB10B4">
        <w:rPr>
          <w:lang w:val="en-US"/>
        </w:rPr>
        <w:fldChar w:fldCharType="begin" w:fldLock="1"/>
      </w:r>
      <w:r w:rsidR="00CB10B4">
        <w:rPr>
          <w:lang w:val="en-US"/>
        </w:rPr>
        <w:instrText>ADDIN CSL_CITATION {"citationItems":[{"id":"ITEM-1","itemData":{"DOI":"10.1016/S1473-3099(13)70693-5","ISBN":"1473-3099","ISSN":"14733099","PMID":"24462211","abstract":"Background: The emergence of Neisseria gonorrhoeae with decreased susceptibility to extended spectrum cephalosporins raises the prospect of untreatable gonorrhoea. In the absence of new treatments, efforts to slow the increasing incidence of resistant gonococcus require insight into the factors that contribute to its emergence and spread. We assessed the relatedness between isolates in the USA and reconstructed likely spread of lineages through different sexual networks. Methods: We sequenced the genomes of 236 isolates of N gonorrhoeae collected by the Centers for Disease Control and Prevention's Gonococcal Isolate Surveillance Project (GISP) from sentinel public sexually transmitted disease clinics in the USA, including 118 (97%) of the isolates from 2009-10 in GISP with reduced susceptibility to cefixime (cefRS) and 118 cefixime-susceptible isolates from GISP matched as closely as possible by location, collection date, and sexual orientation. We assessed the association between antimicrobial resistance genotype and phenotype and correlated phylogenetic clustering with location and sexual orientation. Findings: Mosaic penA XXXIV had a high positive predictive value for cefRS. We found that two of the 118 cefRS isolates lacked a mosaic penA allele, and rechecking showed that these two were susceptible to cefixime. Of the 116 remaining cefRS isolates, 114 (98%) fell into two distinct lineages that have independently acquired mosaic penA allele XXXIV. A major lineage of cefRS strains spread eastward, predominantly through a sexual network of men who have sex with men. Eight of nine inferred transitions between sexual networks were introductions from men who have sex with men into the heterosexual population. Interpretation: Genomic methods might aid efforts to slow the spread of antibiotic-resistant N gonorrhoeae through augmentation of gonococcal outbreak surveillance and identification of populations that could benefit from increased screening for aymptomatic infections. Funding: American Sexually Transmitted Disease Association, Wellcome Trust, National Institute of General Medical Sciences, and National Institute of Allergy and Infectious Diseases, National Institutes of Health. © 2014 Elsevier Ltd.","author":[{"dropping-particle":"","family":"Grad","given":"Yonatan H.","non-dropping-particle":"","parse-names":false,"suffix":""},{"dropping-particle":"","family":"Kirkcaldy","given":"Robert D.","non-dropping-particle":"","parse-names":false,"suffix":""},{"dropping-particle":"","family":"Trees","given":"David","non-dropping-particle":"","parse-names":false,"suffix":""},{"dropping-particle":"","family":"Dordel","given":"Janina","non-dropping-particle":"","parse-names":false,"suffix":""},{"dropping-particle":"","family":"Harris","given":"Simon R.","non-dropping-particle":"","parse-names":false,"suffix":""},{"dropping-particle":"","family":"Goldstein","given":"Edward","non-dropping-particle":"","parse-names":false,"suffix":""},{"dropping-particle":"","family":"Weinstock","given":"Hillard","non-dropping-particle":"","parse-names":false,"suffix":""},{"dropping-particle":"","family":"Parkhill","given":"Julian","non-dropping-particle":"","parse-names":false,"suffix":""},{"dropping-particle":"","family":"Hanage","given":"William P.","non-dropping-particle":"","parse-names":false,"suffix":""},{"dropping-particle":"","family":"Bentley","given":"Stephen","non-dropping-particle":"","parse-names":false,"suffix":""},{"dropping-particle":"","family":"Lipsitch","given":"Marc","non-dropping-particle":"","parse-names":false,"suffix":""}],"container-title":"The Lancet Infectious Diseases","id":"ITEM-1","issued":{"date-parts":[["2014"]]},"title":"Genomic epidemiology of Neisseria gonorrhoeae with reduced susceptibility to cefixime in the USA: A retrospective observational study","type":"article-journal"},"uris":["http://www.mendeley.com/documents/?uuid=c2a96658-0c14-4b7d-a612-f33bf3240156","http://www.mendeley.com/documents/?uuid=cb837e1e-49d5-4b2a-80ee-63314eb73169"]}],"mendeley":{"formattedCitation":"(Grad et al., 2014)","plainTextFormattedCitation":"(Grad et al., 2014)","previouslyFormattedCitation":"(Grad et al., 2014)"},"properties":{"noteIndex":0},"schema":"https://github.com/citation-style-language/schema/raw/master/csl-citation.json"}</w:instrText>
      </w:r>
      <w:r w:rsidR="00CB10B4">
        <w:rPr>
          <w:lang w:val="en-US"/>
        </w:rPr>
        <w:fldChar w:fldCharType="separate"/>
      </w:r>
      <w:r w:rsidR="00CB10B4" w:rsidRPr="00CB10B4">
        <w:rPr>
          <w:noProof/>
          <w:lang w:val="en-US"/>
        </w:rPr>
        <w:t>(Grad et al., 2014)</w:t>
      </w:r>
      <w:r w:rsidR="00CB10B4">
        <w:rPr>
          <w:lang w:val="en-US"/>
        </w:rPr>
        <w:fldChar w:fldCharType="end"/>
      </w:r>
      <w:r w:rsidR="00FA6513">
        <w:rPr>
          <w:lang w:val="en-US"/>
        </w:rPr>
        <w:t>.</w:t>
      </w:r>
    </w:p>
    <w:p w14:paraId="43436E20" w14:textId="10670973" w:rsidR="004C4082" w:rsidRDefault="00F33597" w:rsidP="00CB10B4">
      <w:pPr>
        <w:spacing w:line="480" w:lineRule="auto"/>
        <w:ind w:firstLine="720"/>
        <w:jc w:val="both"/>
        <w:rPr>
          <w:lang w:val="en-US"/>
        </w:rPr>
      </w:pPr>
      <w:r>
        <w:rPr>
          <w:lang w:val="en-US"/>
        </w:rPr>
        <w:t>Management of sexually transmitted diseases</w:t>
      </w:r>
    </w:p>
    <w:p w14:paraId="4C14AC77" w14:textId="156F5DE6" w:rsidR="00FA6513" w:rsidRDefault="00F33597" w:rsidP="00CB10B4">
      <w:pPr>
        <w:spacing w:line="480" w:lineRule="auto"/>
        <w:ind w:firstLine="720"/>
        <w:jc w:val="both"/>
        <w:rPr>
          <w:lang w:val="en-US"/>
        </w:rPr>
      </w:pPr>
      <w:r>
        <w:rPr>
          <w:lang w:val="en-US"/>
        </w:rPr>
        <w:t>Some of the signs and symptoms might appear a few days after exposure while others may take weeks or even months before showing signs. Management of sexually transmitted disease is crucial and sensitive depending on how quickly they develop. Physicians and healthcare providers play an integral role in defining a greater focus in ensuring that these conditions are controlled</w:t>
      </w:r>
      <w:r w:rsidR="00CB10B4">
        <w:rPr>
          <w:lang w:val="en-US"/>
        </w:rPr>
        <w:t xml:space="preserve"> </w:t>
      </w:r>
      <w:r w:rsidR="00CB10B4">
        <w:rPr>
          <w:lang w:val="en-US"/>
        </w:rPr>
        <w:fldChar w:fldCharType="begin" w:fldLock="1"/>
      </w:r>
      <w:r w:rsidR="00CB10B4">
        <w:rPr>
          <w:lang w:val="en-US"/>
        </w:rPr>
        <w:instrText>ADDIN CSL_CITATION {"citationItems":[{"id":"ITEM-1","itemData":{"DOI":"10.1098/rstb.2012.0048","ISBN":"0962-8436","ISSN":"14712970","PMID":"23339239","abstract":"Sexually transmitted infections (STIs) are often associated with chronic diseases and can have severe impacts on host reproductive success. For airborne or socially transmitted pathogens, patterns of contact by which the infection spreads tend to be dispersed and each contact may be of very short duration. By contrast, the transmission pathways for STIs are usually characterized by repeated contacts with a small subset of the population. Here we review how heterogeneity in sexual contact patterns can influence epidemiological dynamics, and present a simple model of polygyny/polyandry to illustrate the impact of biased mating systems on disease incidence and pathogen virulence.","author":[{"dropping-particle":"","family":"Ashby","given":"Ben","non-dropping-particle":"","parse-names":false,"suffix":""},{"dropping-particle":"","family":"Gupta","given":"Sunetra","non-dropping-particle":"","parse-names":false,"suffix":""}],"container-title":"Philosophical Transactions of the Royal Society B: Biological Sciences","id":"ITEM-1","issued":{"date-parts":[["2013"]]},"title":"Sexually transmitted infections in polygamous mating systems","type":"article"},"uris":["http://www.mendeley.com/documents/?uuid=d39058b5-c5fc-44db-90cf-b1c14c8ffac6","http://www.mendeley.com/documents/?uuid=f8b4a41b-63ca-4b88-a635-eabc03b07bf3"]}],"mendeley":{"formattedCitation":"(Ashby &amp; Gupta, 2013)","plainTextFormattedCitation":"(Ashby &amp; Gupta, 2013)","previouslyFormattedCitation":"(Ashby &amp; Gupta, 2013)"},"properties":{"noteIndex":0},"schema":"https://github.com/citation-style-language/schema/raw/master/csl-citation.json"}</w:instrText>
      </w:r>
      <w:r w:rsidR="00CB10B4">
        <w:rPr>
          <w:lang w:val="en-US"/>
        </w:rPr>
        <w:fldChar w:fldCharType="separate"/>
      </w:r>
      <w:r w:rsidR="00CB10B4" w:rsidRPr="00CB10B4">
        <w:rPr>
          <w:noProof/>
          <w:lang w:val="en-US"/>
        </w:rPr>
        <w:t>(Ashby &amp; Gupta, 2013)</w:t>
      </w:r>
      <w:r w:rsidR="00CB10B4">
        <w:rPr>
          <w:lang w:val="en-US"/>
        </w:rPr>
        <w:fldChar w:fldCharType="end"/>
      </w:r>
      <w:r>
        <w:rPr>
          <w:lang w:val="en-US"/>
        </w:rPr>
        <w:t xml:space="preserve">. Creating awareness especially focusing on abstinence </w:t>
      </w:r>
      <w:r w:rsidR="004C4082">
        <w:rPr>
          <w:lang w:val="en-US"/>
        </w:rPr>
        <w:t>and use of condom are conventional methods that individuals are advised to use. The guidelines for treatment of the sexually transmitted infections provide a basis under which healthcare providers are guided regarding the best procedure to consider and give a strong focus on essential changes which help in maintaining a profoundly transformed environment where it is possible to achieve quality healthcare. Antibiotic is a conventional treatment for the majority of sexually transmitted disease in their initial stages before having an advanced impact on the individual body.</w:t>
      </w:r>
    </w:p>
    <w:p w14:paraId="00A9E4F6" w14:textId="2AC23A18" w:rsidR="004C4082" w:rsidRDefault="00F33597" w:rsidP="00CB10B4">
      <w:pPr>
        <w:spacing w:line="480" w:lineRule="auto"/>
        <w:ind w:firstLine="720"/>
        <w:jc w:val="both"/>
        <w:rPr>
          <w:lang w:val="en-US"/>
        </w:rPr>
      </w:pPr>
      <w:r w:rsidRPr="004C4082">
        <w:rPr>
          <w:lang w:val="en-US"/>
        </w:rPr>
        <w:t xml:space="preserve">Comprehensive sex education is more efficient. Talking about sex will not encourage but ensure that they are highly informed and understand the existing risks so that they can protect themselves. Sex education is informative and provides a greater focus on better processes that define positive change. Abstinence from sex programs does not provide </w:t>
      </w:r>
      <w:r w:rsidRPr="004C4082">
        <w:rPr>
          <w:lang w:val="en-US"/>
        </w:rPr>
        <w:lastRenderedPageBreak/>
        <w:t>individuals with answers regarding the dangers of sex but focus on morality and social ethics which creates a significant gap in knowledge teenage understanding of crucial issues regarding sex</w:t>
      </w:r>
      <w:r w:rsidR="00CB10B4">
        <w:rPr>
          <w:lang w:val="en-US"/>
        </w:rPr>
        <w:t xml:space="preserve"> </w:t>
      </w:r>
      <w:r w:rsidR="00CB10B4">
        <w:rPr>
          <w:lang w:val="en-US"/>
        </w:rPr>
        <w:fldChar w:fldCharType="begin" w:fldLock="1"/>
      </w:r>
      <w:r w:rsidR="00CB10B4">
        <w:rPr>
          <w:lang w:val="en-US"/>
        </w:rPr>
        <w:instrText>ADDIN CSL_CITATION {"citationItems":[{"id":"ITEM-1","itemData":{"DOI":"10.1093/med/9780198719830.003.0023","abstract":"Sexually transmitted infections (STI) include a group of diseases of diverse infectious etiology in which sexual transmission is relevant. The burden of disease that STI represent globally is unknown for several reasons. Firstly, asymptomatic infections are common in many STI; secondly, diagnostic techniques are not available in some of the most affected countries; finally, surveillance systems are inexistent or very deficient in many areas of the world. The Word Health Organization has estimated that in 1999 there were 340 million new cases of syphilis, gonorrhoea, chlamydia infection and trichomoniasis. An increasing trend in the incidence of gonorrhoea and syphilis has been noticed in the last years in the European Union, including Spain. Co-infection with other STI, especially HIV, should be ruled out in all STI patients. Chlamydia screening is also of particular importance since this is the most common STI in Europe and frequently goes unnoticed. STI prevention and control should be based on health education, early diagnosis and treatment, screening for asymptomatic infections, contact investigation and vaccination for those diseases for which a vaccine is available.","author":[{"dropping-particle":"","family":"Sonnenberg","given":"Pam","non-dropping-particle":"","parse-names":false,"suffix":""},{"dropping-particle":"","family":"Johnson","given":"Anne","non-dropping-particle":"","parse-names":false,"suffix":""}],"container-title":"Infectious Disease Epidemiology","id":"ITEM-1","issued":{"date-parts":[["2016"]]},"title":"Sexually transmitted infections: epidemiology and control","type":"chapter"},"uris":["http://www.mendeley.com/documents/?uuid=0838894d-5bad-4265-9b18-c89e66f0004b","http://www.mendeley.com/documents/?uuid=5598b397-8b28-41bc-b7ba-5223f548d547"]}],"mendeley":{"formattedCitation":"(Sonnenberg &amp; Johnson, 2016)","plainTextFormattedCitation":"(Sonnenberg &amp; Johnson, 2016)","previouslyFormattedCitation":"(Sonnenberg &amp; Johnson, 2016)"},"properties":{"noteIndex":0},"schema":"https://github.com/citation-style-language/schema/raw/master/csl-citation.json"}</w:instrText>
      </w:r>
      <w:r w:rsidR="00CB10B4">
        <w:rPr>
          <w:lang w:val="en-US"/>
        </w:rPr>
        <w:fldChar w:fldCharType="separate"/>
      </w:r>
      <w:r w:rsidR="00CB10B4" w:rsidRPr="00CB10B4">
        <w:rPr>
          <w:noProof/>
          <w:lang w:val="en-US"/>
        </w:rPr>
        <w:t>(Sonnenberg &amp; Johnson, 2016)</w:t>
      </w:r>
      <w:r w:rsidR="00CB10B4">
        <w:rPr>
          <w:lang w:val="en-US"/>
        </w:rPr>
        <w:fldChar w:fldCharType="end"/>
      </w:r>
      <w:r w:rsidRPr="004C4082">
        <w:rPr>
          <w:lang w:val="en-US"/>
        </w:rPr>
        <w:t xml:space="preserve">. </w:t>
      </w:r>
    </w:p>
    <w:p w14:paraId="73C5C9E7" w14:textId="77777777" w:rsidR="004C4082" w:rsidRPr="004C4082" w:rsidRDefault="00F33597" w:rsidP="00CB10B4">
      <w:pPr>
        <w:spacing w:line="480" w:lineRule="auto"/>
        <w:ind w:firstLine="720"/>
        <w:jc w:val="both"/>
        <w:rPr>
          <w:lang w:val="en-US"/>
        </w:rPr>
      </w:pPr>
      <w:r w:rsidRPr="004C4082">
        <w:rPr>
          <w:lang w:val="en-US"/>
        </w:rPr>
        <w:t>Many professional organizations have testified against funding abstinence-based programs and help diversify programs to integrate comprehensive sex education. Primary education is obligatory within society and provides a greater understanding of essential elements which have been crucial in giving a greater social environment. Children need to learn essential aspects that are associated with current issues. Sex education is necessary for building children knowledge about sex which is a serious issue that is being avoided.</w:t>
      </w:r>
    </w:p>
    <w:p w14:paraId="34605AE0" w14:textId="67BAFDFE" w:rsidR="004C4082" w:rsidRPr="004C4082" w:rsidRDefault="00F33597" w:rsidP="00CB10B4">
      <w:pPr>
        <w:spacing w:line="480" w:lineRule="auto"/>
        <w:ind w:firstLine="720"/>
        <w:jc w:val="both"/>
        <w:rPr>
          <w:lang w:val="en-US"/>
        </w:rPr>
      </w:pPr>
      <w:r w:rsidRPr="004C4082">
        <w:rPr>
          <w:lang w:val="en-US"/>
        </w:rPr>
        <w:t>The knowledge gap regarding the understanding of essential elements that define the knowledge of abstinence-only sex education. The changes within the society have ensured that their development of significant factors that determine better focus on sexual activities. Young people are engaging in sex, and there is no need to emphasis on failing approaches which provide a key focus in positive concepts that can help them secure their lives from sexually transmitted diseases and early pregnancies. Sexual education provides an understanding of critical measures that help define affirmative programs that define social development</w:t>
      </w:r>
      <w:r w:rsidR="00CB10B4">
        <w:rPr>
          <w:lang w:val="en-US"/>
        </w:rPr>
        <w:t xml:space="preserve"> </w:t>
      </w:r>
      <w:r w:rsidR="00CB10B4">
        <w:rPr>
          <w:lang w:val="en-US"/>
        </w:rPr>
        <w:fldChar w:fldCharType="begin" w:fldLock="1"/>
      </w:r>
      <w:r w:rsidR="00CB10B4">
        <w:rPr>
          <w:lang w:val="en-US"/>
        </w:rPr>
        <w:instrText>ADDIN CSL_CITATION {"citationItems":[{"id":"ITEM-1","itemData":{"DOI":"10.1002/14651858.CD006417.pub3","ISBN":"0148-5717","ISSN":"1469493X","PMID":"27824221","abstract":"BACKGROUND School-based sexual and reproductive health programmes are widely accepted as an approach to reducing high-risk sexual behaviour among adolescents. Many studies and systematic reviews have concentrated on measuring effects on knowledge or self-reported behaviour rather than biological outcomes, such as pregnancy or prevalence of sexually transmitted infections (STIs). OBJECTIVES To evaluate the effects of school-based sexual and reproductive health programmes on sexually transmitted infections (such as HIV, herpes simplex virus, and syphilis), and pregnancy among adolescents. SEARCH METHODS We searched MEDLINE, Embase, and the Cochrane Central Register of Controlled Trials (CENTRAL) for published peer-reviewed journal articles; and ClinicalTrials.gov and the World Health Organization's (WHO) International Clinical Trials Registry Platform for prospective trials; AIDS Educaton and Global Information System (AEGIS) and National Library of Medicine (NLM) gateway for conference presentations; and the Centers for Disease Control and Prevention (CDC), UNAIDS, the WHO and the National Health Service (NHS) centre for Reviews and Dissemination (CRD) websites from 1990 to 7 April 2016. We handsearched the reference lists of all relevant papers. SELECTION CRITERIA We included randomized controlled trials (RCTs), both individually randomized and cluster-randomized, that evaluated school-based programmes aimed at improving the sexual and reproductive health of adolescents. DATA COLLECTION AND ANALYSIS Two review authors independently assessed trials for inclusion, evaluated risk of bias, and extracted data. When appropriate, we obtained summary measures of treatment effect through a random-effects meta-analysis and we reported them using risk ratios (RR) with 95% confidence intervals (CIs). We assessed the certainty of the evidence using the GRADE approach. MAIN RESULTS We included eight cluster-RCTs that enrolled 55,157 participants. Five trials were conducted in sub-Saharan Africa (Malawi, South Africa, Tanzania, Zimbabwe, and Kenya), one in Latin America (Chile), and two in Europe (England and Scotland). Sexual and reproductive health educational programmesSix trials evaluated school-based educational interventions.In these trials, the educational programmes evaluated had no demonstrable effect on the prevalence of HIV (RR 1.03, 95% CI 0.80 to 1.32, three trials; 14,163 participants; low certainty evidence), or other STIs (herpes simplex virus prevalen…","author":[{"dropping-particle":"","family":"Mason-Jones","given":"Amanda J.","non-dropping-particle":"","parse-names":false,"suffix":""},{"dropping-particle":"","family":"Sinclair","given":"David","non-dropping-particle":"","parse-names":false,"suffix":""},{"dropping-particle":"","family":"Mathews","given":"Catherine","non-dropping-particle":"","parse-names":false,"suffix":""},{"dropping-particle":"","family":"Kagee","given":"Ashraf","non-dropping-particle":"","parse-names":false,"suffix":""},{"dropping-particle":"","family":"Hillman","given":"Alex","non-dropping-particle":"","parse-names":false,"suffix":""},{"dropping-particle":"","family":"Lombard","given":"Carl","non-dropping-particle":"","parse-names":false,"suffix":""}],"container-title":"Cochrane Database of Systematic Reviews","id":"ITEM-1","issued":{"date-parts":[["2016"]]},"title":"School-based interventions for preventing HIV, sexually transmitted infections, and pregnancy in adolescents","type":"article"},"uris":["http://www.mendeley.com/documents/?uuid=6982f160-1604-436d-81fc-86a5cbee6d6c","http://www.mendeley.com/documents/?uuid=1ad35b8f-94e5-411c-a1f3-0d9bdf4980eb"]}],"mendeley":{"formattedCitation":"(Mason-Jones et al., 2016)","plainTextFormattedCitation":"(Mason-Jones et al., 2016)","previouslyFormattedCitation":"(Mason-Jones et al., 2016)"},"properties":{"noteIndex":0},"schema":"https://github.com/citation-style-language/schema/raw/master/csl-citation.json"}</w:instrText>
      </w:r>
      <w:r w:rsidR="00CB10B4">
        <w:rPr>
          <w:lang w:val="en-US"/>
        </w:rPr>
        <w:fldChar w:fldCharType="separate"/>
      </w:r>
      <w:r w:rsidR="00CB10B4" w:rsidRPr="00CB10B4">
        <w:rPr>
          <w:noProof/>
          <w:lang w:val="en-US"/>
        </w:rPr>
        <w:t>(Mason-Jones et al., 2016)</w:t>
      </w:r>
      <w:r w:rsidR="00CB10B4">
        <w:rPr>
          <w:lang w:val="en-US"/>
        </w:rPr>
        <w:fldChar w:fldCharType="end"/>
      </w:r>
      <w:r w:rsidRPr="004C4082">
        <w:rPr>
          <w:lang w:val="en-US"/>
        </w:rPr>
        <w:t>.</w:t>
      </w:r>
    </w:p>
    <w:p w14:paraId="6F8B04B6" w14:textId="755DFE41" w:rsidR="004C4082" w:rsidRPr="004C4082" w:rsidRDefault="00F33597" w:rsidP="00CB10B4">
      <w:pPr>
        <w:spacing w:line="480" w:lineRule="auto"/>
        <w:ind w:firstLine="720"/>
        <w:jc w:val="both"/>
        <w:rPr>
          <w:lang w:val="en-US"/>
        </w:rPr>
      </w:pPr>
      <w:r w:rsidRPr="004C4082">
        <w:rPr>
          <w:lang w:val="en-US"/>
        </w:rPr>
        <w:t xml:space="preserve">The existing knowledge gap about sex within the society among teens needs to be solved through the development of positive character among individuals because they have a clear understanding of existing changes. </w:t>
      </w:r>
      <w:r>
        <w:rPr>
          <w:lang w:val="en-US"/>
        </w:rPr>
        <w:t>S</w:t>
      </w:r>
      <w:r w:rsidRPr="004C4082">
        <w:rPr>
          <w:lang w:val="en-US"/>
        </w:rPr>
        <w:t>ex education is a moral policy that includes better outcomes where it is possible to define individuals lives and communities. United states sexual behavior is not highly pronounced where key measures have been implemented to provide positive change</w:t>
      </w:r>
      <w:r>
        <w:rPr>
          <w:lang w:val="en-US"/>
        </w:rPr>
        <w:t>.</w:t>
      </w:r>
    </w:p>
    <w:p w14:paraId="1FE8DAEC" w14:textId="77777777" w:rsidR="004C4082" w:rsidRPr="004C4082" w:rsidRDefault="004C4082" w:rsidP="004C4082">
      <w:pPr>
        <w:rPr>
          <w:lang w:val="en-US"/>
        </w:rPr>
      </w:pPr>
    </w:p>
    <w:p w14:paraId="29334DA4" w14:textId="56D4DCCC" w:rsidR="004C4082" w:rsidRDefault="003E275E" w:rsidP="003E275E">
      <w:pPr>
        <w:spacing w:line="480" w:lineRule="auto"/>
        <w:jc w:val="center"/>
        <w:rPr>
          <w:lang w:val="en-US"/>
        </w:rPr>
      </w:pPr>
      <w:r>
        <w:rPr>
          <w:lang w:val="en-US"/>
        </w:rPr>
        <w:lastRenderedPageBreak/>
        <w:t>References</w:t>
      </w:r>
    </w:p>
    <w:p w14:paraId="674489C8" w14:textId="1BD5095C" w:rsidR="003E275E" w:rsidRPr="003E275E" w:rsidRDefault="003E275E" w:rsidP="003E275E">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3E275E">
        <w:rPr>
          <w:rFonts w:cs="Times New Roman"/>
          <w:noProof/>
          <w:szCs w:val="24"/>
        </w:rPr>
        <w:t xml:space="preserve">Ashby, B., &amp; Gupta, S. (2013). Sexually transmitted infections in polygamous mating systems. </w:t>
      </w:r>
      <w:r w:rsidRPr="003E275E">
        <w:rPr>
          <w:rFonts w:cs="Times New Roman"/>
          <w:i/>
          <w:iCs/>
          <w:noProof/>
          <w:szCs w:val="24"/>
        </w:rPr>
        <w:t>Philosophical Transactions of the Royal Society B: Biological Sciences</w:t>
      </w:r>
      <w:r w:rsidRPr="003E275E">
        <w:rPr>
          <w:rFonts w:cs="Times New Roman"/>
          <w:noProof/>
          <w:szCs w:val="24"/>
        </w:rPr>
        <w:t>. https://doi.org/10.1098/rstb.2012.0048</w:t>
      </w:r>
    </w:p>
    <w:p w14:paraId="4B669A31" w14:textId="77777777" w:rsidR="003E275E" w:rsidRPr="003E275E" w:rsidRDefault="003E275E" w:rsidP="003E275E">
      <w:pPr>
        <w:widowControl w:val="0"/>
        <w:autoSpaceDE w:val="0"/>
        <w:autoSpaceDN w:val="0"/>
        <w:adjustRightInd w:val="0"/>
        <w:spacing w:line="480" w:lineRule="auto"/>
        <w:ind w:left="480" w:hanging="480"/>
        <w:rPr>
          <w:rFonts w:cs="Times New Roman"/>
          <w:noProof/>
          <w:szCs w:val="24"/>
        </w:rPr>
      </w:pPr>
      <w:r w:rsidRPr="003E275E">
        <w:rPr>
          <w:rFonts w:cs="Times New Roman"/>
          <w:noProof/>
          <w:szCs w:val="24"/>
        </w:rPr>
        <w:t xml:space="preserve">Grad, Y. H., Kirkcaldy, R. D., Trees, D., Dordel, J., Harris, S. R., Goldstein, E., … Lipsitch, M. (2014). Genomic epidemiology of Neisseria gonorrhoeae with reduced susceptibility to cefixime in the USA: A retrospective observational study. </w:t>
      </w:r>
      <w:r w:rsidRPr="003E275E">
        <w:rPr>
          <w:rFonts w:cs="Times New Roman"/>
          <w:i/>
          <w:iCs/>
          <w:noProof/>
          <w:szCs w:val="24"/>
        </w:rPr>
        <w:t>The Lancet Infectious Diseases</w:t>
      </w:r>
      <w:r w:rsidRPr="003E275E">
        <w:rPr>
          <w:rFonts w:cs="Times New Roman"/>
          <w:noProof/>
          <w:szCs w:val="24"/>
        </w:rPr>
        <w:t>. https://doi.org/10.1016/S1473-3099(13)70693-5</w:t>
      </w:r>
    </w:p>
    <w:p w14:paraId="3A363027" w14:textId="77777777" w:rsidR="003E275E" w:rsidRPr="003E275E" w:rsidRDefault="003E275E" w:rsidP="003E275E">
      <w:pPr>
        <w:widowControl w:val="0"/>
        <w:autoSpaceDE w:val="0"/>
        <w:autoSpaceDN w:val="0"/>
        <w:adjustRightInd w:val="0"/>
        <w:spacing w:line="480" w:lineRule="auto"/>
        <w:ind w:left="480" w:hanging="480"/>
        <w:rPr>
          <w:rFonts w:cs="Times New Roman"/>
          <w:noProof/>
          <w:szCs w:val="24"/>
        </w:rPr>
      </w:pPr>
      <w:r w:rsidRPr="003E275E">
        <w:rPr>
          <w:rFonts w:cs="Times New Roman"/>
          <w:noProof/>
          <w:szCs w:val="24"/>
        </w:rPr>
        <w:t xml:space="preserve">Mason-Jones, A. J., Sinclair, D., Mathews, C., Kagee, A., Hillman, A., &amp; Lombard, C. (2016). School-based interventions for preventing HIV, sexually transmitted infections, and pregnancy in adolescents. </w:t>
      </w:r>
      <w:r w:rsidRPr="003E275E">
        <w:rPr>
          <w:rFonts w:cs="Times New Roman"/>
          <w:i/>
          <w:iCs/>
          <w:noProof/>
          <w:szCs w:val="24"/>
        </w:rPr>
        <w:t>Cochrane Database of Systematic Reviews</w:t>
      </w:r>
      <w:r w:rsidRPr="003E275E">
        <w:rPr>
          <w:rFonts w:cs="Times New Roman"/>
          <w:noProof/>
          <w:szCs w:val="24"/>
        </w:rPr>
        <w:t>. https://doi.org/10.1002/14651858.CD006417.pub3</w:t>
      </w:r>
    </w:p>
    <w:p w14:paraId="4BE226A7" w14:textId="77777777" w:rsidR="003E275E" w:rsidRPr="003E275E" w:rsidRDefault="003E275E" w:rsidP="003E275E">
      <w:pPr>
        <w:widowControl w:val="0"/>
        <w:autoSpaceDE w:val="0"/>
        <w:autoSpaceDN w:val="0"/>
        <w:adjustRightInd w:val="0"/>
        <w:spacing w:line="480" w:lineRule="auto"/>
        <w:ind w:left="480" w:hanging="480"/>
        <w:rPr>
          <w:rFonts w:cs="Times New Roman"/>
          <w:noProof/>
          <w:szCs w:val="24"/>
        </w:rPr>
      </w:pPr>
      <w:r w:rsidRPr="003E275E">
        <w:rPr>
          <w:rFonts w:cs="Times New Roman"/>
          <w:noProof/>
          <w:szCs w:val="24"/>
        </w:rPr>
        <w:t xml:space="preserve">Reidy, D. E., Brookmeyer, K. A., Gentile, B., Berke, D. S., &amp; Zeichner, A. (2016). Gender Role Discrepancy Stress, High-Risk Sexual Behavior, and Sexually Transmitted Disease. </w:t>
      </w:r>
      <w:r w:rsidRPr="003E275E">
        <w:rPr>
          <w:rFonts w:cs="Times New Roman"/>
          <w:i/>
          <w:iCs/>
          <w:noProof/>
          <w:szCs w:val="24"/>
        </w:rPr>
        <w:t>Archives of Sexual Behavior</w:t>
      </w:r>
      <w:r w:rsidRPr="003E275E">
        <w:rPr>
          <w:rFonts w:cs="Times New Roman"/>
          <w:noProof/>
          <w:szCs w:val="24"/>
        </w:rPr>
        <w:t>. https://doi.org/10.1007/s10508-014-0413-0</w:t>
      </w:r>
    </w:p>
    <w:p w14:paraId="3DF1B061" w14:textId="77777777" w:rsidR="003E275E" w:rsidRPr="003E275E" w:rsidRDefault="003E275E" w:rsidP="003E275E">
      <w:pPr>
        <w:widowControl w:val="0"/>
        <w:autoSpaceDE w:val="0"/>
        <w:autoSpaceDN w:val="0"/>
        <w:adjustRightInd w:val="0"/>
        <w:spacing w:line="480" w:lineRule="auto"/>
        <w:ind w:left="480" w:hanging="480"/>
        <w:rPr>
          <w:rFonts w:cs="Times New Roman"/>
          <w:noProof/>
        </w:rPr>
      </w:pPr>
      <w:r w:rsidRPr="003E275E">
        <w:rPr>
          <w:rFonts w:cs="Times New Roman"/>
          <w:noProof/>
          <w:szCs w:val="24"/>
        </w:rPr>
        <w:t xml:space="preserve">Sonnenberg, P., &amp; Johnson, A. (2016). Sexually transmitted infections: epidemiology and control. In </w:t>
      </w:r>
      <w:r w:rsidRPr="003E275E">
        <w:rPr>
          <w:rFonts w:cs="Times New Roman"/>
          <w:i/>
          <w:iCs/>
          <w:noProof/>
          <w:szCs w:val="24"/>
        </w:rPr>
        <w:t>Infectious Disease Epidemiology</w:t>
      </w:r>
      <w:r w:rsidRPr="003E275E">
        <w:rPr>
          <w:rFonts w:cs="Times New Roman"/>
          <w:noProof/>
          <w:szCs w:val="24"/>
        </w:rPr>
        <w:t>. https://doi.org/10.1093/med/9780198719830.003.0023</w:t>
      </w:r>
    </w:p>
    <w:p w14:paraId="36622692" w14:textId="684AE235" w:rsidR="003E275E" w:rsidRDefault="003E275E" w:rsidP="003E275E">
      <w:pPr>
        <w:spacing w:line="480" w:lineRule="auto"/>
        <w:rPr>
          <w:lang w:val="en-US"/>
        </w:rPr>
      </w:pPr>
      <w:r>
        <w:rPr>
          <w:lang w:val="en-US"/>
        </w:rPr>
        <w:fldChar w:fldCharType="end"/>
      </w:r>
    </w:p>
    <w:p w14:paraId="2EC52DEB" w14:textId="5D7F6B7C" w:rsidR="004C4082" w:rsidRDefault="004C4082" w:rsidP="003E275E">
      <w:pPr>
        <w:spacing w:line="480" w:lineRule="auto"/>
        <w:rPr>
          <w:lang w:val="en-US"/>
        </w:rPr>
      </w:pPr>
    </w:p>
    <w:p w14:paraId="0E716303" w14:textId="77777777" w:rsidR="00DC581B" w:rsidRPr="00DC581B" w:rsidRDefault="00DC581B" w:rsidP="003E275E">
      <w:pPr>
        <w:spacing w:line="480" w:lineRule="auto"/>
        <w:rPr>
          <w:lang w:val="en-US"/>
        </w:rPr>
      </w:pPr>
    </w:p>
    <w:sectPr w:rsidR="00DC581B" w:rsidRPr="00DC581B" w:rsidSect="004C408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D402E7" w14:textId="77777777" w:rsidR="0055628D" w:rsidRDefault="0055628D">
      <w:pPr>
        <w:spacing w:after="0" w:line="240" w:lineRule="auto"/>
      </w:pPr>
      <w:r>
        <w:separator/>
      </w:r>
    </w:p>
  </w:endnote>
  <w:endnote w:type="continuationSeparator" w:id="0">
    <w:p w14:paraId="087B19C3" w14:textId="77777777" w:rsidR="0055628D" w:rsidRDefault="00556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509C00" w14:textId="77777777" w:rsidR="0055628D" w:rsidRDefault="0055628D">
      <w:pPr>
        <w:spacing w:after="0" w:line="240" w:lineRule="auto"/>
      </w:pPr>
      <w:r>
        <w:separator/>
      </w:r>
    </w:p>
  </w:footnote>
  <w:footnote w:type="continuationSeparator" w:id="0">
    <w:p w14:paraId="066E60E0" w14:textId="77777777" w:rsidR="0055628D" w:rsidRDefault="005562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547D1" w14:textId="50EA65D6" w:rsidR="004C4082" w:rsidRDefault="00F33597">
    <w:pPr>
      <w:pStyle w:val="Header"/>
      <w:jc w:val="right"/>
    </w:pPr>
    <w:r w:rsidRPr="004C4082">
      <w:rPr>
        <w:lang w:val="en-US"/>
      </w:rPr>
      <w:t xml:space="preserve">SEXUAL TRANSMITTED DISEASE  </w:t>
    </w:r>
    <w:r>
      <w:rPr>
        <w:lang w:val="en-US"/>
      </w:rPr>
      <w:t xml:space="preserve">                                                                                </w:t>
    </w:r>
    <w:sdt>
      <w:sdtPr>
        <w:id w:val="17244784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D89B342" w14:textId="77777777" w:rsidR="004C4082" w:rsidRDefault="004C40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31898" w14:textId="1888A9B7" w:rsidR="004C4082" w:rsidRDefault="00F33597">
    <w:pPr>
      <w:pStyle w:val="Header"/>
      <w:jc w:val="right"/>
    </w:pPr>
    <w:r>
      <w:rPr>
        <w:lang w:val="en-US"/>
      </w:rPr>
      <w:t xml:space="preserve">Running head: </w:t>
    </w:r>
    <w:r w:rsidRPr="004C4082">
      <w:rPr>
        <w:lang w:val="en-US"/>
      </w:rPr>
      <w:t>SEXUAL TRANSMITTED DISEASE</w:t>
    </w:r>
    <w:r>
      <w:rPr>
        <w:lang w:val="en-US"/>
      </w:rPr>
      <w:t xml:space="preserve">                                                          </w:t>
    </w:r>
    <w:sdt>
      <w:sdtPr>
        <w:id w:val="6390068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D165268" w14:textId="77777777" w:rsidR="004C4082" w:rsidRDefault="004C40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10566"/>
    <w:multiLevelType w:val="multilevel"/>
    <w:tmpl w:val="B3E28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xNzQwNTAzMDM0NjdT0lEKTi0uzszPAykwrAUAofLHCiwAAAA="/>
  </w:docVars>
  <w:rsids>
    <w:rsidRoot w:val="00DC581B"/>
    <w:rsid w:val="00390586"/>
    <w:rsid w:val="003E275E"/>
    <w:rsid w:val="00467E2E"/>
    <w:rsid w:val="004C4082"/>
    <w:rsid w:val="0055628D"/>
    <w:rsid w:val="007253DF"/>
    <w:rsid w:val="00A26965"/>
    <w:rsid w:val="00AB68A4"/>
    <w:rsid w:val="00CB10B4"/>
    <w:rsid w:val="00DC581B"/>
    <w:rsid w:val="00F33597"/>
    <w:rsid w:val="00FA6513"/>
    <w:rsid w:val="00FA7D5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9E723"/>
  <w15:chartTrackingRefBased/>
  <w15:docId w15:val="{08929969-DD06-4A53-B143-9D3F3CD87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581B"/>
    <w:rPr>
      <w:color w:val="0563C1" w:themeColor="hyperlink"/>
      <w:u w:val="single"/>
    </w:rPr>
  </w:style>
  <w:style w:type="character" w:customStyle="1" w:styleId="UnresolvedMention1">
    <w:name w:val="Unresolved Mention1"/>
    <w:basedOn w:val="DefaultParagraphFont"/>
    <w:uiPriority w:val="99"/>
    <w:semiHidden/>
    <w:unhideWhenUsed/>
    <w:rsid w:val="00DC581B"/>
    <w:rPr>
      <w:color w:val="605E5C"/>
      <w:shd w:val="clear" w:color="auto" w:fill="E1DFDD"/>
    </w:rPr>
  </w:style>
  <w:style w:type="paragraph" w:styleId="Header">
    <w:name w:val="header"/>
    <w:basedOn w:val="Normal"/>
    <w:link w:val="HeaderChar"/>
    <w:uiPriority w:val="99"/>
    <w:unhideWhenUsed/>
    <w:rsid w:val="004C40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4082"/>
  </w:style>
  <w:style w:type="paragraph" w:styleId="Footer">
    <w:name w:val="footer"/>
    <w:basedOn w:val="Normal"/>
    <w:link w:val="FooterChar"/>
    <w:uiPriority w:val="99"/>
    <w:unhideWhenUsed/>
    <w:rsid w:val="004C40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4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91417-5F97-4570-AE1F-CC1542BCD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4070</Words>
  <Characters>23199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2019-03-07T22:24:00Z</dcterms:created>
  <dcterms:modified xsi:type="dcterms:W3CDTF">2019-03-07T22:24:00Z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